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376B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D376B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B01CB4" w:rsidRPr="00E02542" w:rsidTr="00AA1D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31.623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31.715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31.555</w:t>
            </w:r>
          </w:p>
        </w:tc>
      </w:tr>
      <w:tr w:rsidR="00B01CB4" w:rsidRPr="00E02542" w:rsidTr="00AA1D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6.8496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6.8786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6.8518</w:t>
            </w:r>
          </w:p>
        </w:tc>
      </w:tr>
      <w:tr w:rsidR="00B01CB4" w:rsidRPr="00E02542" w:rsidTr="00AA1D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6.8464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6.8548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6.8283</w:t>
            </w:r>
          </w:p>
        </w:tc>
      </w:tr>
      <w:tr w:rsidR="00B01CB4" w:rsidRPr="00E02542" w:rsidTr="00AA1D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114.86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115.62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114.4</w:t>
            </w:r>
          </w:p>
        </w:tc>
      </w:tr>
      <w:tr w:rsidR="00B01CB4" w:rsidRPr="00E02542" w:rsidTr="00AA1D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1.0664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1.0677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1.0589</w:t>
            </w:r>
          </w:p>
        </w:tc>
      </w:tr>
      <w:tr w:rsidR="00B01CB4" w:rsidRPr="00E02542" w:rsidTr="00AA1D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0.7561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0.7574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0.7494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-0.05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0.65944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7.0973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0.4593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5.652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0.0733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0.8846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0.0046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0.0125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0.8325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0.0074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1.175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0.0115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2.364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0.036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3.7951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0.0449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3.803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0.0539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3.149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0.042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3.275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0.007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0.68944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-0.00056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1.03011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0.00528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2.4739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0.0295</w:t>
            </w:r>
          </w:p>
        </w:tc>
      </w:tr>
      <w:tr w:rsidR="00B01CB4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3.0463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0.0195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01CB4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54.16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</w:tr>
      <w:tr w:rsidR="00B01CB4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51.37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0.18</w:t>
            </w:r>
          </w:p>
        </w:tc>
      </w:tr>
      <w:tr w:rsidR="00B01CB4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1204.85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01CB4" w:rsidRPr="006F3ADE" w:rsidTr="007E1F4A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19732.4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-72.32</w:t>
            </w:r>
          </w:p>
        </w:tc>
      </w:tr>
      <w:tr w:rsidR="00B01CB4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5540.081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-15.573</w:t>
            </w:r>
          </w:p>
        </w:tc>
      </w:tr>
      <w:tr w:rsidR="00B01CB4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2263.69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-8.2</w:t>
            </w:r>
          </w:p>
        </w:tc>
      </w:tr>
      <w:tr w:rsidR="00B01CB4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11596.89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-2.5</w:t>
            </w:r>
          </w:p>
        </w:tc>
      </w:tr>
      <w:tr w:rsidR="00B01CB4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3259.773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-12.296</w:t>
            </w:r>
          </w:p>
        </w:tc>
      </w:tr>
      <w:tr w:rsidR="00B01CB4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23098.26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-48.3</w:t>
            </w:r>
          </w:p>
        </w:tc>
      </w:tr>
      <w:tr w:rsidR="00B01CB4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9318.12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12.68</w:t>
            </w:r>
          </w:p>
        </w:tc>
      </w:tr>
      <w:tr w:rsidR="00B01CB4" w:rsidRPr="00745739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19072.25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46.69</w:t>
            </w:r>
          </w:p>
        </w:tc>
      </w:tr>
      <w:tr w:rsidR="00B01CB4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01CB4" w:rsidRPr="00915E2A" w:rsidRDefault="00B01CB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000000"/>
                <w:sz w:val="18"/>
                <w:szCs w:val="18"/>
              </w:rPr>
              <w:t>2072.79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CB4" w:rsidRPr="00B01CB4" w:rsidRDefault="00B01CB4" w:rsidP="00B01CB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01CB4">
              <w:rPr>
                <w:rFonts w:ascii="Tahoma" w:hAnsi="Tahoma" w:cs="Tahoma"/>
                <w:color w:val="FF0000"/>
                <w:sz w:val="18"/>
                <w:szCs w:val="18"/>
              </w:rPr>
              <w:t>-1.97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B2D12" w:rsidRPr="004B2D12" w:rsidRDefault="004B2D12" w:rsidP="006E6B7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月房屋開工反彈幅度超過預期，因經濟不斷改善，提振對出租房的需求。上周初請失業金人數意外降至接近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43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年低位，直指勞動力市場進一步收緊，應該會支撐今年經濟增長。上月房屋開工跳增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11.3%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，經季節調整後年率為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123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萬戶，</w:t>
      </w:r>
      <w:r w:rsidR="009D2C18">
        <w:rPr>
          <w:rFonts w:asciiTheme="minorHAnsi" w:eastAsia="標楷體" w:hAnsiTheme="minorHAnsi" w:hint="eastAsia"/>
          <w:noProof/>
          <w:sz w:val="16"/>
          <w:szCs w:val="16"/>
        </w:rPr>
        <w:t>高於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路透經濟學家原本預計，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月房屋開工增至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120</w: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萬戶。</w:t>
      </w:r>
    </w:p>
    <w:p w:rsidR="002F4156" w:rsidRPr="004B2D12" w:rsidRDefault="004B2D12" w:rsidP="004B2D1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9798FFA" wp14:editId="17952F95">
                <wp:simplePos x="0" y="0"/>
                <wp:positionH relativeFrom="column">
                  <wp:posOffset>-88265</wp:posOffset>
                </wp:positionH>
                <wp:positionV relativeFrom="paragraph">
                  <wp:posOffset>927211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358146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473687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358146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73pt;width:268.85pt;height:43.8pt;z-index:251686912;mso-width-relative:margin;mso-height-relative:margin" coordorigin="-580,63581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">
                <v:shape id="手繪多邊形 13" o:spid="_x0000_s1030" style="position:absolute;left:-194;top:64736;width:33781;height:454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3581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2D12">
        <w:rPr>
          <w:rFonts w:asciiTheme="minorHAnsi" w:eastAsia="標楷體" w:hAnsiTheme="minorHAnsi" w:hint="eastAsia"/>
          <w:noProof/>
          <w:sz w:val="16"/>
          <w:szCs w:val="16"/>
        </w:rPr>
        <w:t>歐洲央行維持超寬鬆貨幣政策不變，告誡德國等呼籲收緊政策者保持耐心，因歐元區經濟正在緩慢復甦。歐洲央行總裁德拉吉稱，會忽略油價上漲帶動的通脹跡象，但承認近期公布的一系列經濟增長指標意外強勁。不過他指出，經濟前景仍充滿風險，要求歐洲央行繼續執行史無前例的刺激舉措</w:t>
      </w:r>
      <w:r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2F4156" w:rsidRPr="002F4156" w:rsidRDefault="002F4156" w:rsidP="002F4156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2F4156" w:rsidRDefault="002F415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F61FBD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台幣兌美元週四微收跌，中止連續第二日上漲。美聯儲主席葉倫談話提振國際美元轉強，令開盤台幣隨韓元等亞幣走貶逾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角；惟出口商拋匯賣需增溫，在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31.600-31.700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間的拋匯需求踴躍，且大型外資賣匯皆令跌幅明顯收斂至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31.600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附近整理。因應農曆年前資金需求，出口商開盤見台幣貶破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31.700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隨即進場拋匯，讓台幣有點在走自己的路，不同于韓元等其他亞幣的趨跌態勢。美國候任總統特朗普將於週五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(20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上任，短線台幣暫先盤整觀望特朗普本周稍後就職演說內容，後續仍須關注國際美元走勢及外資進一步動向。預計今日成交區間在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31.500~31.700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B4CE4" w:rsidRPr="005B4CE4">
        <w:rPr>
          <w:rFonts w:asciiTheme="minorHAnsi" w:eastAsia="標楷體" w:hAnsiTheme="minorHAnsi" w:hint="eastAsia"/>
          <w:noProof/>
          <w:sz w:val="16"/>
          <w:szCs w:val="16"/>
        </w:rPr>
        <w:t>台灣銀行間短率昨日大致持穩。市場資金還算相當充裕，但已經不像先前寬鬆，拆款需求亦略增，利率維持則持穩。人民幣市場方面，</w:t>
      </w:r>
      <w:r w:rsidR="005B4CE4" w:rsidRPr="005B4CE4">
        <w:rPr>
          <w:rFonts w:asciiTheme="minorHAnsi" w:eastAsia="標楷體" w:hAnsiTheme="minorHAnsi" w:hint="eastAsia"/>
          <w:noProof/>
          <w:sz w:val="16"/>
          <w:szCs w:val="16"/>
        </w:rPr>
        <w:t xml:space="preserve">DF </w:t>
      </w:r>
      <w:r w:rsidR="005B4CE4" w:rsidRPr="005B4CE4">
        <w:rPr>
          <w:rFonts w:asciiTheme="minorHAnsi" w:eastAsia="標楷體" w:hAnsiTheme="minorHAnsi" w:hint="eastAsia"/>
          <w:noProof/>
          <w:sz w:val="16"/>
          <w:szCs w:val="16"/>
        </w:rPr>
        <w:t>價格</w:t>
      </w:r>
      <w:r w:rsidR="005B4CE4" w:rsidRPr="005B4CE4">
        <w:rPr>
          <w:rFonts w:asciiTheme="minorHAnsi" w:eastAsia="標楷體" w:hAnsiTheme="minorHAnsi" w:hint="eastAsia"/>
          <w:noProof/>
          <w:sz w:val="16"/>
          <w:szCs w:val="16"/>
        </w:rPr>
        <w:t>1Y</w:t>
      </w:r>
      <w:r w:rsidR="005B4CE4" w:rsidRPr="005B4CE4">
        <w:rPr>
          <w:rFonts w:asciiTheme="minorHAnsi" w:eastAsia="標楷體" w:hAnsiTheme="minorHAnsi" w:hint="eastAsia"/>
          <w:noProof/>
          <w:sz w:val="16"/>
          <w:szCs w:val="16"/>
        </w:rPr>
        <w:t>在</w:t>
      </w:r>
      <w:r w:rsidR="005B4CE4" w:rsidRPr="005B4CE4">
        <w:rPr>
          <w:rFonts w:asciiTheme="minorHAnsi" w:eastAsia="標楷體" w:hAnsiTheme="minorHAnsi" w:hint="eastAsia"/>
          <w:noProof/>
          <w:sz w:val="16"/>
          <w:szCs w:val="16"/>
        </w:rPr>
        <w:t xml:space="preserve"> 2433-2690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週四美國公佈新屋開工與許可好壞不一，但初請失業金人數持續保持穩健，就業市場強勁支撐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目前逐步升息基調，終場美債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4.4bps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2.474%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3.4bps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3.046%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，今日市場無重要數據公佈，短線美債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年券站上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090566" w:rsidRPr="00090566">
        <w:rPr>
          <w:rFonts w:asciiTheme="minorHAnsi" w:eastAsia="標楷體" w:hAnsiTheme="minorHAnsi" w:hint="eastAsia"/>
          <w:noProof/>
          <w:sz w:val="16"/>
          <w:szCs w:val="16"/>
        </w:rPr>
        <w:t>，整體走勢維持偏空震盪。</w:t>
      </w:r>
      <w:bookmarkStart w:id="0" w:name="_GoBack"/>
      <w:bookmarkEnd w:id="0"/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週四離岸人民幣匯率亞洲盤維持震盪走勢，震盪區間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6.83~6.84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，市場觀望中國重要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數據公布，短線農曆年前除了美國總統川普就任外，無太多重要消息，預估近期將維持整理格局。離岸人民幣換匯點持平，一個月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380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2480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598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0.184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3142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1.036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D42447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$23.7b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$18.8b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$30.8b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$9.4b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1188k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1226k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1090k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9.00%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-18.70%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1225k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1210k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1201k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-4.70%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14-Jan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252k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247k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7-Jan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2075k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2046k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2087k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21.5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年至今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6.20%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零售銷售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10.80%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固定資產農村除外年至今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</w:tr>
      <w:tr w:rsidR="00D42447" w:rsidRPr="00D42447" w:rsidTr="00D4244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出口訂單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9.00%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47" w:rsidRPr="00D42447" w:rsidRDefault="00D42447" w:rsidP="00D424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2447">
              <w:rPr>
                <w:rFonts w:ascii="Tahoma" w:hAnsi="Tahoma" w:cs="Tahoma" w:hint="eastAsia"/>
                <w:color w:val="000000"/>
                <w:sz w:val="20"/>
                <w:szCs w:val="20"/>
              </w:rPr>
              <w:t>7.00%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19CE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01E4"/>
    <w:rsid w:val="00534867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3D2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401A0"/>
    <w:rsid w:val="00F4084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2074F-8BAD-4249-A3A9-D834AB94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50</cp:revision>
  <cp:lastPrinted>2015-08-07T06:27:00Z</cp:lastPrinted>
  <dcterms:created xsi:type="dcterms:W3CDTF">2017-01-20T01:04:00Z</dcterms:created>
  <dcterms:modified xsi:type="dcterms:W3CDTF">2017-01-20T03:01:00Z</dcterms:modified>
</cp:coreProperties>
</file>