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7586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08518F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7586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08518F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19291B" w:rsidRPr="00E02542" w:rsidTr="00E45202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30.765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30.895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30.704</w:t>
            </w:r>
          </w:p>
        </w:tc>
      </w:tr>
      <w:tr w:rsidR="0019291B" w:rsidRPr="00E02542" w:rsidTr="00E45202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6.8675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6.8771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6.8626</w:t>
            </w:r>
          </w:p>
        </w:tc>
      </w:tr>
      <w:tr w:rsidR="0019291B" w:rsidRPr="00E02542" w:rsidTr="00E45202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6.8451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6.8649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6.8414</w:t>
            </w:r>
          </w:p>
        </w:tc>
      </w:tr>
      <w:tr w:rsidR="0019291B" w:rsidRPr="00E02542" w:rsidTr="00E45202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114.16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114.96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113.87</w:t>
            </w:r>
          </w:p>
        </w:tc>
      </w:tr>
      <w:tr w:rsidR="0019291B" w:rsidRPr="00E02542" w:rsidTr="00E45202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1.0601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1.0609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1.0521</w:t>
            </w:r>
          </w:p>
        </w:tc>
      </w:tr>
      <w:tr w:rsidR="0019291B" w:rsidRPr="00E02542" w:rsidTr="00E45202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0.7719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0.7637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0.65811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FF0000"/>
                <w:sz w:val="18"/>
                <w:szCs w:val="18"/>
              </w:rPr>
              <w:t>-0.001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4.2733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FF0000"/>
                <w:sz w:val="18"/>
                <w:szCs w:val="18"/>
              </w:rPr>
              <w:t>-0.5287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4.8087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FF0000"/>
                <w:sz w:val="18"/>
                <w:szCs w:val="18"/>
              </w:rPr>
              <w:t>-0.2866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0.8534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FF0000"/>
                <w:sz w:val="18"/>
                <w:szCs w:val="18"/>
              </w:rPr>
              <w:t>-0.0016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1.0763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0.0013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0.8215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0.0035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FF0000"/>
                <w:sz w:val="18"/>
                <w:szCs w:val="18"/>
              </w:rPr>
              <w:t>-0.005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2.2658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0.0048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4.0312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0.0152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4.2394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0.0246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3.254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0.035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3.441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0.02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0.68722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1.03733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FF0000"/>
                <w:sz w:val="18"/>
                <w:szCs w:val="18"/>
              </w:rPr>
              <w:t>-0.00167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2.4932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0.0073</w:t>
            </w:r>
          </w:p>
        </w:tc>
      </w:tr>
      <w:tr w:rsidR="0019291B" w:rsidRPr="00C47FE8" w:rsidTr="00080BC0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9291B" w:rsidRPr="00915E2A" w:rsidRDefault="001929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3.0777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9291B" w:rsidRPr="0019291B" w:rsidRDefault="0019291B" w:rsidP="001929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9291B">
              <w:rPr>
                <w:rFonts w:ascii="Tahoma" w:hAnsi="Tahoma" w:cs="Tahoma"/>
                <w:color w:val="000000"/>
                <w:sz w:val="18"/>
                <w:szCs w:val="18"/>
              </w:rPr>
              <w:t>0.0064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C69CC" w:rsidRPr="006F3ADE" w:rsidTr="00A05B6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55.75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8C69CC" w:rsidRPr="006F3ADE" w:rsidTr="00A05B6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53.11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FF0000"/>
                <w:sz w:val="18"/>
                <w:szCs w:val="18"/>
              </w:rPr>
              <w:t>-0.05</w:t>
            </w:r>
          </w:p>
        </w:tc>
      </w:tr>
      <w:tr w:rsidR="008C69CC" w:rsidRPr="006F3ADE" w:rsidTr="00A05B6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1233.7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1.94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C69CC" w:rsidRPr="006F3ADE" w:rsidTr="00EB7BD5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20611.86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107.45</w:t>
            </w:r>
          </w:p>
        </w:tc>
      </w:tr>
      <w:tr w:rsidR="008C69CC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5819.44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36.868</w:t>
            </w:r>
          </w:p>
        </w:tc>
      </w:tr>
      <w:tr w:rsidR="008C69CC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2349.25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11.67</w:t>
            </w:r>
          </w:p>
        </w:tc>
      </w:tr>
      <w:tr w:rsidR="008C69CC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11793.93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22.12</w:t>
            </w:r>
          </w:p>
        </w:tc>
      </w:tr>
      <w:tr w:rsidR="008C69CC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3369.6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FF0000"/>
                <w:sz w:val="18"/>
                <w:szCs w:val="18"/>
              </w:rPr>
              <w:t>-5.198</w:t>
            </w:r>
          </w:p>
        </w:tc>
      </w:tr>
      <w:tr w:rsidR="008C69CC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23703.01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291.86</w:t>
            </w:r>
          </w:p>
        </w:tc>
      </w:tr>
      <w:tr w:rsidR="008C69CC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9799.76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44.49</w:t>
            </w:r>
          </w:p>
        </w:tc>
      </w:tr>
      <w:tr w:rsidR="008C69CC" w:rsidRPr="00745739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19437.98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FF0000"/>
                <w:sz w:val="18"/>
                <w:szCs w:val="18"/>
              </w:rPr>
              <w:t>-11.48</w:t>
            </w:r>
          </w:p>
        </w:tc>
      </w:tr>
      <w:tr w:rsidR="008C69CC" w:rsidRPr="006F3ADE" w:rsidTr="00EB7BD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C69CC" w:rsidRPr="00915E2A" w:rsidRDefault="008C69C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000000"/>
                <w:sz w:val="18"/>
                <w:szCs w:val="18"/>
              </w:rPr>
              <w:t>2083.86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C69CC">
              <w:rPr>
                <w:rFonts w:ascii="Tahoma" w:hAnsi="Tahoma" w:cs="Tahoma"/>
                <w:color w:val="FF0000"/>
                <w:sz w:val="18"/>
                <w:szCs w:val="18"/>
              </w:rPr>
              <w:t>-4.63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31820" w:rsidRPr="00631820" w:rsidRDefault="00092301" w:rsidP="00092301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月零售銷售增長</w:t>
      </w: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0.4%</w:t>
      </w: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，增幅大於預期，因家庭買入電子產品等一系列商品，反映國內需求持續，應能提振第一季經濟增長。此外上月消費者物價指數</w:t>
      </w: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(CPI)</w:t>
      </w: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跳升</w:t>
      </w: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0.6%</w:t>
      </w: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，錄得近四年來最大升幅。</w:t>
      </w:r>
    </w:p>
    <w:p w:rsidR="00B678F1" w:rsidRPr="00631820" w:rsidRDefault="00092301" w:rsidP="00092301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9BC140F" wp14:editId="0F5A26AB">
                <wp:simplePos x="0" y="0"/>
                <wp:positionH relativeFrom="column">
                  <wp:posOffset>-86995</wp:posOffset>
                </wp:positionH>
                <wp:positionV relativeFrom="paragraph">
                  <wp:posOffset>732483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270722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376933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270722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5pt;margin-top:57.7pt;width:268.85pt;height:43pt;z-index:251686912;mso-width-relative:margin;mso-height-relative:margin" coordorigin="-580,82707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">
                <v:shape id="手繪多邊形 13" o:spid="_x0000_s1030" style="position:absolute;left:-194;top:83769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2707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美聯儲主席葉倫第二天在國會作證時，未提供下次升息時機的新線索。受此影響，美元原本有望連漲第</w:t>
      </w: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631820">
        <w:rPr>
          <w:rFonts w:asciiTheme="minorHAnsi" w:eastAsia="標楷體" w:hAnsiTheme="minorHAnsi" w:hint="eastAsia"/>
          <w:noProof/>
          <w:sz w:val="16"/>
          <w:szCs w:val="16"/>
        </w:rPr>
        <w:t>日，但在觸及高位後回落。波士頓聯儲總裁羅森格倫表示今年至少需要升息三次，費城聯儲總裁哈克亦認為今年升息三次是合適的</w:t>
      </w:r>
      <w:r w:rsidR="000838DB" w:rsidRPr="00631820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891BDB" w:rsidRPr="00891BDB" w:rsidRDefault="00891BDB" w:rsidP="00891BD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260F6" w:rsidRDefault="003260F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43FF7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台幣兌美元週三連三日收升，續創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21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個月新高。受外資持續瘋狂湧入激勵，昨天台幣順利攻克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30.800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關卡，且一度企圖挑戰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30.700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大關，最高沖至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30.704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，勁升逾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1.64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角；惟隨即吸引進口商及散戶買入日圓，間接提供美元支撐，台幣收盤守穩在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30.700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以上。外資在台股買超金額擴增至逾百億台幣，且淨匯入約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億美元，昨天一大早外資進場大舉拋售美元，加上出口商憂台幣續升，跟進外資拋匯行列，帶動台幣一路強攻，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30.700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重要關卡價位亦岌岌可危，若跌破，接下來可能看到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30.500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關鍵價位。預計今天成交區間在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30.650~31.850</w:t>
      </w:r>
      <w:r w:rsidR="00B43FF7" w:rsidRPr="00B43FF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40432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臺灣銀行間短率週三大致持穩，惟跨月利率高位走揚。有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11.8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億美元國際債券交割，且因銀行發行存單較多，令分配不均狀況無法改善，跨月拆款利率高位以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0.44%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為基礎略向上墊高。人民幣市場部分，隔拆利率在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1.40%-1.80%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 xml:space="preserve"> 2,020 -2,230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92DEE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週三美國公佈經濟數據普遍強於預期，而昨日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主席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Yellen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在眾議院作證時稱，經濟非常接近目標，將繼續減碼寬鬆，漸進、有序地縮減資產負債表，鷹派言論持續動利率走揚。終場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2.3bps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2.493%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2bps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3.078%</w:t>
      </w:r>
      <w:r w:rsidR="00164A79" w:rsidRPr="00164A79">
        <w:rPr>
          <w:rFonts w:asciiTheme="minorHAnsi" w:eastAsia="標楷體" w:hAnsiTheme="minorHAnsi" w:hint="eastAsia"/>
          <w:noProof/>
          <w:sz w:val="16"/>
          <w:szCs w:val="16"/>
        </w:rPr>
        <w:t>，今日市場關注美國新屋開工與許可數據，利率走勢仍維持高檔震盪。</w:t>
      </w:r>
      <w:bookmarkStart w:id="0" w:name="_GoBack"/>
      <w:bookmarkEnd w:id="0"/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週三離岸人民幣回升，升破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6.85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，人民幣持續往箱型區間下緣邁進，目標價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水位。週三美國公布數據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月零售數據月增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0.4%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，優於預期，不過美元指數漲多獲利回吐，再加上聯準會主席葉倫第二天在國會聽證會並沒有新的鷹派談話，美元回跌，人民幣收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6.8409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。離岸人民幣換匯點止跌反彈，一個月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180(+40)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2210(+170)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。期貨週三成交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2203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0.82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2812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1.00</w:t>
      </w:r>
      <w:r w:rsidR="001A10EF" w:rsidRPr="001A10EF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8C69CC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4Q F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2.60%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2.88%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2.58%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10-Feb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-3.70%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先期零售銷售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NAHB 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房屋市場指數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67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淨長期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-$12.9b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$30.8b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總淨</w:t>
            </w:r>
            <w:proofErr w:type="gramEnd"/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-$42.8b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$23.7b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1226k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1226k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營建許可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1230k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1210k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建築許可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-0.20%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11-Feb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245k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234k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4-Feb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2050k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2078k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費城聯</w:t>
            </w:r>
            <w:proofErr w:type="gramStart"/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企業展望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23.6</w:t>
            </w:r>
          </w:p>
        </w:tc>
      </w:tr>
      <w:tr w:rsidR="008C69CC" w:rsidRPr="008C69CC" w:rsidTr="008C69C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02/16-02/18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9CC" w:rsidRPr="008C69CC" w:rsidRDefault="008C69CC" w:rsidP="008C69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9CC">
              <w:rPr>
                <w:rFonts w:ascii="Tahoma" w:hAnsi="Tahoma" w:cs="Tahoma" w:hint="eastAsia"/>
                <w:color w:val="000000"/>
                <w:sz w:val="20"/>
                <w:szCs w:val="20"/>
              </w:rPr>
              <w:t>5.70%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3794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5DAF"/>
    <w:rsid w:val="00466740"/>
    <w:rsid w:val="00466BA1"/>
    <w:rsid w:val="00467B49"/>
    <w:rsid w:val="00467F55"/>
    <w:rsid w:val="00467F89"/>
    <w:rsid w:val="0047072B"/>
    <w:rsid w:val="00471C24"/>
    <w:rsid w:val="00472802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6692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1820"/>
    <w:rsid w:val="006328EC"/>
    <w:rsid w:val="006330E4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0F4F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7FC5-FF31-4EC5-A1C1-C0792836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22</cp:revision>
  <cp:lastPrinted>2015-08-07T06:27:00Z</cp:lastPrinted>
  <dcterms:created xsi:type="dcterms:W3CDTF">2017-02-16T01:22:00Z</dcterms:created>
  <dcterms:modified xsi:type="dcterms:W3CDTF">2017-02-16T02:28:00Z</dcterms:modified>
</cp:coreProperties>
</file>