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7586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2373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7586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C2373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30.792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30.837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30.66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6.8711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6.8642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6.8489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6.8493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6.8553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6.8417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847DD3" w:rsidRPr="00847DD3" w:rsidRDefault="00847DD3" w:rsidP="00DE28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113.24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DE28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114.31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DE28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113.09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1.0674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1.0679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1.0591</w:t>
            </w:r>
          </w:p>
        </w:tc>
      </w:tr>
      <w:tr w:rsidR="00847DD3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0.7694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0.7732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0.7685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4.8827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0.6094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5.0453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0.2366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0.8508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-0.0116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1.0725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-0.0175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0.815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-0.019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2.333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0.0672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4.0516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0.0204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4.2518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0.0124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3.254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3.395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-0.046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0.68556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-0.00166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1.04178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0.00445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2.4467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-0.0304</w:t>
            </w:r>
          </w:p>
        </w:tc>
      </w:tr>
      <w:tr w:rsidR="00847DD3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47DD3" w:rsidRPr="00915E2A" w:rsidRDefault="00847DD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000000"/>
                <w:sz w:val="18"/>
                <w:szCs w:val="18"/>
              </w:rPr>
              <w:t>3.0487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47DD3" w:rsidRPr="00847DD3" w:rsidRDefault="00847DD3" w:rsidP="00847DD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47DD3">
              <w:rPr>
                <w:rFonts w:ascii="Tahoma" w:hAnsi="Tahoma" w:cs="Tahoma"/>
                <w:color w:val="FF0000"/>
                <w:sz w:val="18"/>
                <w:szCs w:val="18"/>
              </w:rPr>
              <w:t>-0.0121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3065A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55.65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0.1</w:t>
            </w:r>
          </w:p>
        </w:tc>
      </w:tr>
      <w:tr w:rsidR="0063065A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53.36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0.08</w:t>
            </w:r>
          </w:p>
        </w:tc>
      </w:tr>
      <w:tr w:rsidR="0063065A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1239.04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-1.11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3065A" w:rsidRPr="006F3ADE" w:rsidTr="00EB7BD5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20619.77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7.91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5814.9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-4.54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2347.22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065A" w:rsidRPr="0063065A" w:rsidRDefault="0063065A" w:rsidP="00A706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0629">
              <w:rPr>
                <w:rFonts w:ascii="Tahoma" w:hAnsi="Tahoma" w:cs="Tahoma"/>
                <w:color w:val="FF0000"/>
                <w:sz w:val="18"/>
                <w:szCs w:val="18"/>
              </w:rPr>
              <w:t>-2.03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11757.24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-36.69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3364.402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17.469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23994.87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112.83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9771.25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-3.48</w:t>
            </w:r>
          </w:p>
        </w:tc>
      </w:tr>
      <w:tr w:rsidR="0063065A" w:rsidRPr="00745739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19347.53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-123.32</w:t>
            </w:r>
          </w:p>
        </w:tc>
      </w:tr>
      <w:tr w:rsidR="0063065A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3065A" w:rsidRPr="00915E2A" w:rsidRDefault="006306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000000"/>
                <w:sz w:val="18"/>
                <w:szCs w:val="18"/>
              </w:rPr>
              <w:t>2081.84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065A" w:rsidRPr="0063065A" w:rsidRDefault="0063065A" w:rsidP="0063065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3065A">
              <w:rPr>
                <w:rFonts w:ascii="Tahoma" w:hAnsi="Tahoma" w:cs="Tahoma"/>
                <w:color w:val="FF0000"/>
                <w:sz w:val="18"/>
                <w:szCs w:val="18"/>
              </w:rPr>
              <w:t>-2.61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9C1EB2" w:rsidP="009C1EB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歐洲央行公布的</w:t>
      </w: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19</w:t>
      </w: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日貨幣政策會議記錄顯示，央行政策制定者在上月會議上呼籲先按兵不動，顯示在歐洲多國大選帶來高度不確定性的情況下，歐洲央行無意縮減刺激措施</w:t>
      </w:r>
      <w:r w:rsidR="009D50A8">
        <w:rPr>
          <w:rFonts w:asciiTheme="minorHAnsi" w:eastAsia="標楷體" w:hAnsiTheme="minorHAnsi" w:hint="eastAsia"/>
          <w:noProof/>
          <w:sz w:val="16"/>
          <w:szCs w:val="16"/>
        </w:rPr>
        <w:t>，普遍同意維持利率不變，</w:t>
      </w:r>
      <w:r w:rsidRPr="009C1EB2">
        <w:rPr>
          <w:rFonts w:asciiTheme="minorHAnsi" w:eastAsia="標楷體" w:hAnsiTheme="minorHAnsi" w:hint="eastAsia"/>
          <w:noProof/>
          <w:sz w:val="16"/>
          <w:szCs w:val="16"/>
        </w:rPr>
        <w:t>甚至為追加刺激措施預留了空間，儘管經濟成長正在加速。</w:t>
      </w:r>
    </w:p>
    <w:p w:rsidR="00B678F1" w:rsidRPr="00631820" w:rsidRDefault="00092301" w:rsidP="009C1EB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513FAE4" wp14:editId="4A8CF862">
                <wp:simplePos x="0" y="0"/>
                <wp:positionH relativeFrom="column">
                  <wp:posOffset>-86995</wp:posOffset>
                </wp:positionH>
                <wp:positionV relativeFrom="paragraph">
                  <wp:posOffset>732483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270722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376933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270722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57.7pt;width:268.85pt;height:43pt;z-index:251686912;mso-width-relative:margin;mso-height-relative:margin" coordorigin="-580,827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">
                <v:shape id="手繪多邊形 13" o:spid="_x0000_s1030" style="position:absolute;left:-194;top:837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2707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消息人士說，如果全球原油庫存未能降至目標水平，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可能從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7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月開始延長同非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產油國之間的減產協議，甚至可能加大減產力度。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成員國官員已表示，石油庫存有必要下降至接近五年平均值的水平，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9C1EB2" w:rsidRPr="009C1EB2">
        <w:rPr>
          <w:rFonts w:asciiTheme="minorHAnsi" w:eastAsia="標楷體" w:hAnsiTheme="minorHAnsi" w:hint="eastAsia"/>
          <w:noProof/>
          <w:sz w:val="16"/>
          <w:szCs w:val="16"/>
        </w:rPr>
        <w:t>才會認定油市已轉為供需均衡。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台幣兌美元周四收低，終止連三升走勢。外資匯入力道明顯減弱，淨匯入金額縮減至近億美元，且散戶瘋狂搶進日圓和美元，台幣早盤開高後震盪收貶；短線台幣升勢料將趨緩。因國際美元走弱、日圓等亞幣走揚及外資持續匯入，加上央行適度放手，台幣開盤再強攻並沖到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30.660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高價，惟隨即吸引散戶進場買匯，削弱台幣升勢。惟隨台幣回貶至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30.770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附近即引出口商拋匯，而升破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又有進口商及散戶買盤進場；短線台幣料將主要在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30.500-30.700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區間波動。預計今天成交區間在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30.650~31.850</w:t>
      </w:r>
      <w:r w:rsidR="004732EC" w:rsidRPr="004732E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40432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台灣銀行間短率周四大致持穩。外資近期持續匯入，令台幣資金池水位上揚，雖然銀行對跨月資金情勢仍保守看待，但整體穩中偏寬鬆的環境，令短率缺乏再走高的動力。人民幣市場部分，隔拆利率在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2.00%-2.50%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 xml:space="preserve"> 2,150 -2,300</w:t>
      </w:r>
      <w:r w:rsidR="00525FFC" w:rsidRPr="00525FF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週四美國公佈經濟數據普遍強於預期，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月份新屋開工下滑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2.6%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；營建許可增加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4.6%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，而費城製造業指數由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23.6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大幅上揚至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43.3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。昨日債券市場在美股終止上揚後回落。終場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4.6bps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2.447%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2.9bps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3.049%</w:t>
      </w:r>
      <w:r w:rsidR="00C11629" w:rsidRPr="00C11629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，今日市場無重要數據公佈，利率走勢維持高檔震盪。</w:t>
      </w:r>
      <w:bookmarkStart w:id="0" w:name="_GoBack"/>
      <w:bookmarkEnd w:id="0"/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週四離岸人民幣交投清淡，日內交易區間在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6.84-6.855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，震幅約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150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點。週四美國公布初請失業金人數少於預期，新屋開工微幅下滑，但建築許可優於預期，數據好壞參半，美元指數持續回落季線，估計月底前仍是震盪整理。離岸人民幣換匯點止跌反彈，一個月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170(-10)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2140(-70)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2032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0.81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2854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0.98</w:t>
      </w:r>
      <w:r w:rsidR="00CE56FB" w:rsidRPr="00CE56F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85C3A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-$12.9b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$30.8b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$23.7b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1226k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1246k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1226k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-2.60%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1230k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1285k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1210k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11-Feb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239k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4-Feb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2050k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2076k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2078k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23.6</w:t>
            </w:r>
          </w:p>
        </w:tc>
      </w:tr>
      <w:tr w:rsidR="00085C3A" w:rsidRPr="00085C3A" w:rsidTr="00085C3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3A" w:rsidRPr="00085C3A" w:rsidRDefault="00085C3A" w:rsidP="00085C3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85C3A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25FFC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73A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8AB5-65BD-4364-B7A0-DA9731A4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49</cp:revision>
  <cp:lastPrinted>2015-08-07T06:27:00Z</cp:lastPrinted>
  <dcterms:created xsi:type="dcterms:W3CDTF">2017-02-17T01:25:00Z</dcterms:created>
  <dcterms:modified xsi:type="dcterms:W3CDTF">2017-02-17T02:28:00Z</dcterms:modified>
</cp:coreProperties>
</file>