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4561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33EC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4561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333EC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30.916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31.015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30.911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6.9143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6.915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6.9036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6.8963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6.8972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6.8804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114.88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114.95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114.48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1.0653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1.0714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1.0652</w:t>
            </w:r>
          </w:p>
        </w:tc>
      </w:tr>
      <w:tr w:rsidR="00305CC5" w:rsidRPr="00E02542" w:rsidTr="00B278B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05CC5" w:rsidRPr="00915E2A" w:rsidRDefault="00305CC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0.7571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0.7592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05CC5" w:rsidRPr="00305CC5" w:rsidRDefault="00305CC5" w:rsidP="00305C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05CC5">
              <w:rPr>
                <w:rFonts w:ascii="Tahoma" w:hAnsi="Tahoma" w:cs="Tahoma"/>
                <w:color w:val="000000"/>
                <w:sz w:val="18"/>
                <w:szCs w:val="18"/>
              </w:rPr>
              <w:t>0.7531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0.002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5.0847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-0.736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5.2433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-0.1047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0.9077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0.0027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1.175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0.0075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0.8945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-0.0155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1.2022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0.0097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2.379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-0.0229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4.1226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0.0073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4.2925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-0.0017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3.222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-0.006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-0.042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0.68189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-0.00022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1.12122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0.00166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2.6258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0.0403</w:t>
            </w:r>
          </w:p>
        </w:tc>
      </w:tr>
      <w:tr w:rsidR="00024B96" w:rsidRPr="00C47FE8" w:rsidTr="002665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3.2122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0.0358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24B96" w:rsidRPr="006F3ADE" w:rsidTr="0034314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51.35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-0.05</w:t>
            </w:r>
          </w:p>
        </w:tc>
      </w:tr>
      <w:tr w:rsidR="00024B96" w:rsidRPr="006F3ADE" w:rsidTr="0034314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-0.05</w:t>
            </w:r>
          </w:p>
        </w:tc>
      </w:tr>
      <w:tr w:rsidR="00024B96" w:rsidRPr="006F3ADE" w:rsidTr="0034314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1204.3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-0.39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24B96" w:rsidRPr="006F3ADE" w:rsidTr="00825A3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20881.48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-21.5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5875.784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14.058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2373.47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0.87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11990.03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26.85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3364.098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25.463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23829.67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41.33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9697.34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37.48</w:t>
            </w:r>
          </w:p>
        </w:tc>
      </w:tr>
      <w:tr w:rsidR="00024B96" w:rsidRPr="00745739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19633.75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FF0000"/>
                <w:sz w:val="18"/>
                <w:szCs w:val="18"/>
              </w:rPr>
              <w:t>-12.59</w:t>
            </w:r>
          </w:p>
        </w:tc>
      </w:tr>
      <w:tr w:rsidR="00024B96" w:rsidRPr="006F3ADE" w:rsidTr="00825A3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24B96" w:rsidRPr="00915E2A" w:rsidRDefault="00024B9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2117.59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24B96" w:rsidRPr="00024B96" w:rsidRDefault="00024B96" w:rsidP="00024B9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24B96">
              <w:rPr>
                <w:rFonts w:ascii="Tahoma" w:hAnsi="Tahoma" w:cs="Tahoma"/>
                <w:color w:val="000000"/>
                <w:sz w:val="18"/>
                <w:szCs w:val="18"/>
              </w:rPr>
              <w:t>8.83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55C83" w:rsidRPr="00555C83" w:rsidRDefault="000C6E8B" w:rsidP="000C6E8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一名美國財政部高級官員表示，美國財長努欽本周首次出席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國集團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(G20)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會議時將為美國“積極爭取”利益，包括重申避免競爭性貨幣貶值的承諾。該官員向記者表示，努欽將敦促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G20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國家使用所有可動用的工具加強全球經濟成長。努欽將在周五和周六出席在德國舉行的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國集團財長和央行行長會議。</w:t>
      </w:r>
    </w:p>
    <w:p w:rsidR="000C6E8B" w:rsidRPr="000C6E8B" w:rsidRDefault="000C6E8B" w:rsidP="000C6E8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歐洲央行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(ECB)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>管委維斯科表示，美國總統特朗普的經濟政策可能損害全球貿易，並可能推動美國利率加速上升。他並稱，考慮到美國當前接近全面就業的經濟狀況，強勁的財政擴張可能帶來放大周期影響的風險。在這種情況下，美聯儲貨幣條件正常化的進程有可能不會那麼漸進地進行。</w:t>
      </w:r>
      <w:r w:rsidRPr="000C6E8B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7B3E7F" w:rsidRPr="000C6E8B" w:rsidRDefault="00CA5BD4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256D50B" wp14:editId="1837D6DF">
                <wp:simplePos x="0" y="0"/>
                <wp:positionH relativeFrom="column">
                  <wp:posOffset>-87630</wp:posOffset>
                </wp:positionH>
                <wp:positionV relativeFrom="paragraph">
                  <wp:posOffset>22755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285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347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285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1.8pt;width:268.85pt;height:43pt;z-index:251686912;mso-width-relative:margin;mso-height-relative:margin" coordorigin="-624,95285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EqiQYAAIITAAAOAAAAZHJzL2Uyb0RvYy54bWzsWE+P20QUvyPxHUY+gtJ47PG/qNmqu9ms&#10;kApUahDnWduxLWyPmXE22SIuCAlR7kXiBuoJiSOHHuDbbCu+BW9mPI4dNquqwAGJrLSxPT+/ee/3&#10;/sx7uf9gV5XoKuWiYPXcwvdsC6V1zJKizubWJ6vlJLSQaGmd0JLV6dy6ToX14OTdd+5vm1nqsJyV&#10;ScoRCKnFbNvMrbxtm9l0KuI8rai4x5q0hsU14xVt4ZZn04TTLUivyqlj2/50y3jScBanQsDThV60&#10;TpT89TqN24/Xa5G2qJxboFur/nP1/1L+n57cp7OM0yYv4k4N+hZaVLSoYdNe1IK2FG148RdRVRFz&#10;Jti6vRezasrW6yJOlQ1gDbYPrLngbNMoW7LZNmt6moDaA57eWmz80dVjjopkbnkWqmkFLnr9+4vX&#10;v36NPMnNtslmALngzZPmMe8eZPpOmrtb80p+gyFop1i97llNdy2K4aFLMHEjEB/Dmkd8bHe0xzn4&#10;Rr428R0SRhaC9chzQs8LtV/i/Hwvww9cI8O3I1fJmBoNplLRXq9tA8Ek9nyJv8fXk5w2qXKDkGR0&#10;fDmGr1fffvf65c83L37446tnN7/9hLCrmVNgSZskSDSPWPyZQDU7T4r2MSvqFrTCIIOd5bTO0oec&#10;s22e0kQ9BqbBpIEEeSNAFrrcfsgS8BLdtExF3IELJg5wDURJLn2XBH6kuey94QYhhJr2BvFIgBWg&#10;Z5LO4o1oL1Km/EqvHolW50gCVyrCky5OLiCf1lUJ6fL+BNnyT++U9QDYpQeEvh3cgln1Qt6bImyH&#10;to22yMG+iZFe2KoXBkAb5beDwCl6RwU6IskdgELfDY8JIyMcqH9EHrDdb6pUPybQHwDvtDUYAgMn&#10;CI5JhOp6sPURHSG7euBdNuORPyB6SODYCNwBjvE9z/UPfLzCQ79gHEQ+Ce9+YegjL4xCh9yNH7rr&#10;TfBDt90teeg4TLxj/sUjvwHuSPDhodscTOzoqMSh33CAbX8oE3IxM9lGc5OA8a7uMhCuEJSMubUC&#10;b8mUbJiQZVTmEqQ9ZIosH5DIu1quDuB4BAdHSLgqV7fCnREceJVwdS7cCndHcCBNwoOjypARHBiR&#10;cFOMlO56l85qDme5PMVXGNwG5/hKugVO8pWkHc7yFe5OjYa2kjRFDFyi7dzSBQXl5kquVewqXTGF&#10;aiV7nqv5MAfLfj3eXBbxafp0iHZcrXBX8xolQvMvl1TJHD6U0juvjKSV9VCqFoD9gBiWzfptOnTo&#10;wHa7Gq83NKphWTiGmhgL+wXJ7x3aOL4DuQdeGb5gFDLfek9Z3RW0L90g20DMt4b6nnTgG0l1sC2d&#10;fAQ7Vr2zHbtAxugNSA/lnC4GlLBDxtR5o94aUD+WPzZiL2zvWIMYv3e4+UF0OL3Co0jaW27CcSw1&#10;LplIdTzJcFfp3se9cuv+DIfuNlkWZYk4az8t2ly1M7L3kLGfiS5VMoGgjMjmTT4WPLs8Kzm6opBx&#10;ru8tI1NUMqFf02jo5eBz9BUFpVVFVT6InCapFkl8J1AhTmdFfXXRQUDxbmNlkNwKHvUqlkVX9zyi&#10;t0UipmUKvWuvXGeq3LdUxa9m0nTNlH6Sqqmgs5pt2pQ/yZMtSgoBRQXbQeBD0CcFVBYn6LahZQbD&#10;TdxyKDgjDm+xPIQeJjRO68UrQ0Y7Qz/W6SA7MzUqfBFhOAtPnWiy9MNgQpbEm0SBHU5sHJ1Gvk0i&#10;slh+KcnGZJYXSZLWj4o6NWMLJm/W5nYDlB441OAiSyQ03p72IysLFS+SxFEcKDaMaWIIqwqgEZVF&#10;Nbegg4OPLjuynT2vE+X8lhalvp6O1dfU7KBeg68NK6r5lf2uHEHE7JIl19D7AvlqxoB5Ey5yxp9a&#10;aAuz29wSn28oTy1UflBDDEeYECiOrbohHnQw4LjhyuVwhdYxiJpbrQWnqrw8a+EOXtk0vMhy2Emn&#10;Ss0eQs+9LmQ/rPTTWnU3MG9oXf/1wQPOYT2ovXr+zc0v3796/vLmx2dmXOtHBtTuThkca1r3/fjx&#10;D08bRyY3M21gPyTQNnbThg+Dm0lVM7Y0XFcqJC/mljzlVRiayQOCwkBkQPb5fEeC35ZZdnQenodk&#10;Qhz/fELsxWLycHlGJv4SB97CXZydLfA4s1TF1L9LQLy+bWapHBpmyiihlurT9QWDhBpkiFTDZIYU&#10;9n+xUBwYSlQJPSgW7e5yp37R6Ofw/0r5AEPUDz3Kuu5HKflL0vAeroc/nZ38CQAA//8DAFBLAwQU&#10;AAYACAAAACEAXbNm5d8AAAAIAQAADwAAAGRycy9kb3ducmV2LnhtbEyPQWvCQBSE74X+h+UVetNN&#10;DAZN8yIibU9SqBZKb2v2mQSzb0N2TeK/7/ZUj8MMM9/km8m0YqDeNZYR4nkEgri0uuEK4ev4NluB&#10;cF6xVq1lQriRg03x+JCrTNuRP2k4+EqEEnaZQqi97zIpXVmTUW5uO+LgnW1vlA+yr6Tu1RjKTSsX&#10;UZRKoxoOC7XqaFdTeTlcDcL7qMZtEr8O+8t5d/s5Lj++9zEhPj9N2xcQnib/H4Y//IAORWA62Str&#10;J1qEWZwEdI+QpCCCv1wkaxAnhNU6BVnk8v5A8QsAAP//AwBQSwECLQAUAAYACAAAACEAtoM4kv4A&#10;AADhAQAAEwAAAAAAAAAAAAAAAAAAAAAAW0NvbnRlbnRfVHlwZXNdLnhtbFBLAQItABQABgAIAAAA&#10;IQA4/SH/1gAAAJQBAAALAAAAAAAAAAAAAAAAAC8BAABfcmVscy8ucmVsc1BLAQItABQABgAIAAAA&#10;IQCEoBEqiQYAAIITAAAOAAAAAAAAAAAAAAAAAC4CAABkcnMvZTJvRG9jLnhtbFBLAQItABQABgAI&#10;AAAAIQBds2bl3wAAAAgBAAAPAAAAAAAAAAAAAAAAAOMIAABkcnMvZG93bnJldi54bWxQSwUGAAAA&#10;AAQABADzAAAA7wkAAAAA&#10;">
                <v:shape id="手繪多邊形 13" o:spid="_x0000_s1030" style="position:absolute;left:-239;top:96347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285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CA5BD4" w:rsidRDefault="00CA5BD4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台幣兌美元周一收升逾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角，中止連三日跌勢。儘管美國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月非農就業崗位增幅大於預期，但其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月薪資增幅稍低於預估，令外資美元多頭部位略見調節壓力，且歐元強升也帶動台幣隨韓元等亞幣走揚，而台股止跌反彈亦提振台幣升勢。預計台幣今日區間在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30.850-31.000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之間。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台灣銀行間短率周一大致平穩。市場資金情勢大致平穩，目前仍關注台幣偏弱是否令外商銀資金短少，以及周三美國聯邦儲備理事會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宣布利率決議。人民幣市場部分，隔拆利率在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2.50%-3.50%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 xml:space="preserve"> 2,220 -2,280</w:t>
      </w:r>
      <w:r w:rsidR="00CA5BD4" w:rsidRPr="00CA5BD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04D5B" w:rsidRPr="00804D5B" w:rsidRDefault="00BC0912" w:rsidP="00804D5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週一美國無重要數據公佈，市場關注焦點仍聚焦週四凌晨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會議，目前市場預估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月份將進一步升息，昨日美債利率持續走揚，終場美債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5.1bps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2.626%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4.7bps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3.212%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，今日美國關注生產者物價，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5A2A2B" w:rsidRPr="005A2A2B">
        <w:rPr>
          <w:rFonts w:asciiTheme="minorHAnsi" w:eastAsia="標楷體" w:hAnsiTheme="minorHAnsi" w:hint="eastAsia"/>
          <w:noProof/>
          <w:sz w:val="16"/>
          <w:szCs w:val="16"/>
        </w:rPr>
        <w:t>會議前預估利率走勢將維持高檔震盪，短線操作暫以觀望為宜。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週一離岸人民幣匯率維持區間震盪整理，週四凌晨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會議預估升息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碼，後續市場觀注未來升息展望，晚間盤離岸人民幣匯率突破整理區間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6.89~6.8970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，最高來到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上方。換匯點下滑，一個月降至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230(-60)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2260(-80)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。人民幣匯率期貨市場週一成交量小幅升至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1,011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0.331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3,910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1.396</w:t>
      </w:r>
      <w:r w:rsidR="003165B1" w:rsidRPr="003165B1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3165B1" w:rsidRDefault="003165B1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83F6D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83F6D" w:rsidRPr="00683F6D" w:rsidTr="00683F6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</w:tr>
      <w:tr w:rsidR="00683F6D" w:rsidRPr="00683F6D" w:rsidTr="00683F6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683F6D" w:rsidRPr="00683F6D" w:rsidTr="00683F6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683F6D" w:rsidRPr="00683F6D" w:rsidTr="00683F6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03/14-03/18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F6D" w:rsidRPr="00683F6D" w:rsidRDefault="00683F6D" w:rsidP="00683F6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3F6D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CC5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5E48-B1D9-4F84-80B1-85920591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33</cp:revision>
  <cp:lastPrinted>2015-08-07T06:27:00Z</cp:lastPrinted>
  <dcterms:created xsi:type="dcterms:W3CDTF">2017-03-14T01:49:00Z</dcterms:created>
  <dcterms:modified xsi:type="dcterms:W3CDTF">2017-03-14T03:06:00Z</dcterms:modified>
</cp:coreProperties>
</file>