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C399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DC399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30.115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6.8729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6.8755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6.8737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6.8509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111.15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110.18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1.0814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1.0799</w:t>
            </w:r>
          </w:p>
        </w:tc>
      </w:tr>
      <w:tr w:rsidR="00D052CB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0.7633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0.7588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-0.00011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4.4007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-0.0926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4.746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-0.0473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0.0098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0.015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-0.0035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-0.0057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-0.034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4.4105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-0.0191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-0.0134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Pr="00D052CB" w:rsidRDefault="00D052CB" w:rsidP="00D052C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D052CB">
              <w:rPr>
                <w:rFonts w:hint="eastAsia"/>
                <w:color w:val="FF0000"/>
              </w:rPr>
              <w:t>-0.008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0.029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0.92444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D052CB">
              <w:rPr>
                <w:rFonts w:hint="eastAsia"/>
                <w:color w:val="FF0000"/>
              </w:rPr>
              <w:t>-0.00223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1.15189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0.00061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2.4178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0.0432</w:t>
            </w:r>
          </w:p>
        </w:tc>
      </w:tr>
      <w:tr w:rsidR="00D052CB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3.0246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0.0406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52CB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</w:t>
            </w:r>
          </w:p>
        </w:tc>
      </w:tr>
      <w:tr w:rsidR="00D052CB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48.37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0.15</w:t>
            </w:r>
          </w:p>
        </w:tc>
      </w:tr>
      <w:tr w:rsidR="00D052CB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1251.82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D052CB">
              <w:rPr>
                <w:rFonts w:hint="eastAsia"/>
                <w:color w:val="FF0000"/>
              </w:rPr>
              <w:t>-2.86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52CB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20701.5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150.52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5875.14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34.766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2358.57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16.98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12149.42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153.35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3421.204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D052CB">
              <w:rPr>
                <w:rFonts w:hint="eastAsia"/>
                <w:color w:val="FF0000"/>
              </w:rPr>
              <w:t>-14.699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24193.7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152.17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9876.45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0.32</w:t>
            </w:r>
          </w:p>
        </w:tc>
      </w:tr>
      <w:tr w:rsidR="00D052CB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19202.87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052CB" w:rsidRDefault="00DC6CA4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DC6CA4">
              <w:rPr>
                <w:rFonts w:hint="eastAsia"/>
              </w:rPr>
              <w:t>35.15</w:t>
            </w:r>
          </w:p>
        </w:tc>
      </w:tr>
      <w:tr w:rsidR="00D052CB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52CB" w:rsidRPr="00915E2A" w:rsidRDefault="00D052C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052CB" w:rsidRDefault="00D052CB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2163.31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52CB" w:rsidRDefault="00DC6CA4" w:rsidP="00D052C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5.94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D12B9" w:rsidRPr="003D12B9" w:rsidRDefault="00831BDA" w:rsidP="00831BD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月消費者信心指數勁揚至逾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16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年高位，與此同時勞動市場益發樂觀；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月商品貿易逆差大幅縮窄，表明經濟在年初跌跌撞撞後重獲動能。週二的其他資料顯示，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831BDA">
        <w:rPr>
          <w:rFonts w:asciiTheme="minorHAnsi" w:eastAsia="標楷體" w:hAnsiTheme="minorHAnsi" w:hint="eastAsia"/>
          <w:noProof/>
          <w:sz w:val="16"/>
          <w:szCs w:val="16"/>
        </w:rPr>
        <w:t>月房價進一步上升，凸顯美國經濟基本面強勁。</w:t>
      </w:r>
    </w:p>
    <w:p w:rsidR="00F078FB" w:rsidRPr="003D12B9" w:rsidRDefault="00C01B17" w:rsidP="00831BD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140D737" wp14:editId="5F8D52F6">
                <wp:simplePos x="0" y="0"/>
                <wp:positionH relativeFrom="column">
                  <wp:posOffset>-88265</wp:posOffset>
                </wp:positionH>
                <wp:positionV relativeFrom="paragraph">
                  <wp:posOffset>511773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8615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9236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8615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40.3pt;width:268.85pt;height:43pt;z-index:251686912;mso-width-relative:margin;mso-height-relative:margin" coordorigin="-624,95861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">
                <v:shape id="手繪多邊形 13" o:spid="_x0000_s1030" style="position:absolute;left:-239;top:96923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86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1BDA" w:rsidRPr="00831BDA">
        <w:rPr>
          <w:rFonts w:asciiTheme="minorHAnsi" w:eastAsia="標楷體" w:hAnsiTheme="minorHAnsi" w:hint="eastAsia"/>
          <w:noProof/>
          <w:sz w:val="16"/>
          <w:szCs w:val="16"/>
        </w:rPr>
        <w:t>美聯儲副主席費舍爾在</w:t>
      </w:r>
      <w:r w:rsidR="00831BDA" w:rsidRPr="00831BDA">
        <w:rPr>
          <w:rFonts w:asciiTheme="minorHAnsi" w:eastAsia="標楷體" w:hAnsiTheme="minorHAnsi" w:hint="eastAsia"/>
          <w:noProof/>
          <w:sz w:val="16"/>
          <w:szCs w:val="16"/>
        </w:rPr>
        <w:t>CNBC</w:t>
      </w:r>
      <w:r w:rsidR="00831BDA" w:rsidRPr="00831BDA">
        <w:rPr>
          <w:rFonts w:asciiTheme="minorHAnsi" w:eastAsia="標楷體" w:hAnsiTheme="minorHAnsi" w:hint="eastAsia"/>
          <w:noProof/>
          <w:sz w:val="16"/>
          <w:szCs w:val="16"/>
        </w:rPr>
        <w:t>表示，今年再加息兩次看來是合適的。達拉斯聯儲總裁柯普朗稱美聯儲應有耐心的、循序漸進的加息，他不希望加息過於激進而令經濟放緩。</w:t>
      </w:r>
    </w:p>
    <w:p w:rsidR="003D12B9" w:rsidRDefault="003D12B9" w:rsidP="003D12B9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C01B17" w:rsidRPr="003D12B9" w:rsidRDefault="00C01B17" w:rsidP="003D12B9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幣兌美元週二小幅收升，續創逾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個月新高。縱然國際美元略見走升，但因外資匯入與出口商拋匯，使得台幣走勢強於多數亞洲貨幣。昨日外資持續匯入，並在台股現貨擴大買超，讓盤中一度回落近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80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點的加權股價指數硬是以平盤作收。外資的美元賣盤也令季底有作帳壓力的出口商含淚拋匯，更強化了台幣的升值走勢。由於週四有摩台指結算，以外資做多台股心態濃厚來看，在高檔結算不會有問題。搭配出口商季底作帳，預料台幣在月底前料維持偏強走勢。預估今日台幣主要交易區間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30.100- 30.250</w:t>
      </w:r>
      <w:r w:rsidR="001A3220" w:rsidRPr="001A322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灣銀行間短率周二略下滑。市場資金更趨浮濫，在沒有到期、更無新增需求之下，部分大型行庫開始反應市場資金情勢，略微拉低拆款利率，對銀行跨季拆款利率在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0.37-0.38%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，對票券商亦降為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0.42%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1.80%-2.30%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 xml:space="preserve"> 1,800 -1,840</w:t>
      </w:r>
      <w:r w:rsidR="00365E88" w:rsidRPr="00365E8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二美國公佈諮商會消費信心優於市場</w:t>
      </w:r>
      <w:bookmarkStart w:id="0" w:name="_GoBack"/>
      <w:bookmarkEnd w:id="0"/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預期，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月上升至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125.6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，創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16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年新高，加上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副主席表示今年度接下來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次升息是合適的，帶動美債利率反彈，終場美債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4bps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2.418%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4bps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3.025%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，今日美國關注成屋待完成銷售公佈，短線美債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年券關注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是否突破，暫維持區間操作。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二離岸人民幣匯率回貶，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下方面臨強勁支撐，昨日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副主席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Fischer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表示，今年再次升息兩次的預測看起來是合適的，帶動美元反彈，短線離岸人民幣匯率仍未於震盪收斂區間內，後續中國關注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PMI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數據公佈。離岸人民幣換匯點，一個月升至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175(+10)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1820(+10)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。人民幣匯率期貨市場週二成交量小幅降至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526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0.209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3,457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1.195</w:t>
      </w:r>
      <w:r w:rsidR="00FF6C73" w:rsidRPr="00FF6C7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E5A50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E5A50" w:rsidRPr="00FE5A50" w:rsidTr="00FE5A50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0.86%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0.93%</w:t>
            </w:r>
          </w:p>
        </w:tc>
      </w:tr>
      <w:tr w:rsidR="00FE5A50" w:rsidRPr="00FE5A50" w:rsidTr="00FE5A5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5.60%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5.73%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5.58%</w:t>
            </w:r>
          </w:p>
        </w:tc>
      </w:tr>
      <w:tr w:rsidR="00FE5A50" w:rsidRPr="00FE5A50" w:rsidTr="00FE5A5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</w:tr>
      <w:tr w:rsidR="00FE5A50" w:rsidRPr="00FE5A50" w:rsidTr="00FE5A5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03/29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24-Mar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-2.70%</w:t>
            </w:r>
          </w:p>
        </w:tc>
      </w:tr>
      <w:tr w:rsidR="00FE5A50" w:rsidRPr="00FE5A50" w:rsidTr="00FE5A5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03/29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50" w:rsidRPr="00FE5A50" w:rsidRDefault="00FE5A50" w:rsidP="00FE5A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5A50">
              <w:rPr>
                <w:rFonts w:ascii="Tahoma" w:hAnsi="Tahoma" w:cs="Tahoma" w:hint="eastAsia"/>
                <w:color w:val="000000"/>
                <w:sz w:val="20"/>
                <w:szCs w:val="20"/>
              </w:rPr>
              <w:t>-2.80%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79A3-BAE1-4586-B3AD-FBD4B318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14</cp:revision>
  <cp:lastPrinted>2015-08-07T06:27:00Z</cp:lastPrinted>
  <dcterms:created xsi:type="dcterms:W3CDTF">2017-03-29T01:05:00Z</dcterms:created>
  <dcterms:modified xsi:type="dcterms:W3CDTF">2017-03-29T02:00:00Z</dcterms:modified>
</cp:coreProperties>
</file>