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3E7F" wp14:editId="33227E4E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F3D36" wp14:editId="11BC3369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B867" wp14:editId="0EFE0BD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31897A3" wp14:editId="217E16F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D7E5" wp14:editId="2EBE680D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A77F0" wp14:editId="7BC81B62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400E2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400E2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14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F7FB4" wp14:editId="2162F508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101540" w:rsidRPr="00E02542" w:rsidTr="00007F1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30.325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30.428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30.231</w:t>
            </w:r>
          </w:p>
        </w:tc>
      </w:tr>
      <w:tr w:rsidR="00101540" w:rsidRPr="00E02542" w:rsidTr="00007F1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6.8915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6.8745</w:t>
            </w:r>
          </w:p>
        </w:tc>
      </w:tr>
      <w:tr w:rsidR="00101540" w:rsidRPr="00E02542" w:rsidTr="00007F1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6.8852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6.8684</w:t>
            </w:r>
          </w:p>
        </w:tc>
      </w:tr>
      <w:tr w:rsidR="00101540" w:rsidRPr="00E02542" w:rsidTr="00007F1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109.09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109.39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108.73</w:t>
            </w:r>
          </w:p>
        </w:tc>
      </w:tr>
      <w:tr w:rsidR="00101540" w:rsidRPr="00E02542" w:rsidTr="00007F1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1.0613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1.0609</w:t>
            </w:r>
          </w:p>
        </w:tc>
      </w:tr>
      <w:tr w:rsidR="00101540" w:rsidRPr="00E02542" w:rsidTr="00007F1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0.7568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0.7522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-0.001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-0.00045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3.9387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-0.1613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4.4833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-0.1114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0.0049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0.955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-0.0045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1.0188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-0.0262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0.0245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4.0016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-0.0116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4.2631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-0.0022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3.203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3.327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-0.013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0.92778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0.00056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1.15844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0.00333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2.2374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-0.0018</w:t>
            </w:r>
          </w:p>
        </w:tc>
      </w:tr>
      <w:tr w:rsidR="00101540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2.8923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0.0062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101540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55.86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</w:t>
            </w:r>
          </w:p>
        </w:tc>
      </w:tr>
      <w:tr w:rsidR="00101540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53.11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0.07</w:t>
            </w:r>
          </w:p>
        </w:tc>
      </w:tr>
      <w:tr w:rsidR="00101540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1287.92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101540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20453.25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-138.61</w:t>
            </w:r>
          </w:p>
        </w:tc>
      </w:tr>
      <w:tr w:rsidR="00101540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5805.15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-31.01</w:t>
            </w:r>
          </w:p>
        </w:tc>
      </w:tr>
      <w:tr w:rsidR="00101540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2328.95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-15.98</w:t>
            </w:r>
          </w:p>
        </w:tc>
      </w:tr>
      <w:tr w:rsidR="00101540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12109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-45.7</w:t>
            </w:r>
          </w:p>
        </w:tc>
      </w:tr>
      <w:tr w:rsidR="00101540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3428.366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101540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24057.21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-31.25</w:t>
            </w:r>
          </w:p>
        </w:tc>
      </w:tr>
      <w:tr w:rsidR="00101540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9836.68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</w:t>
            </w:r>
          </w:p>
        </w:tc>
      </w:tr>
      <w:tr w:rsidR="00101540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18426.84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-125.77</w:t>
            </w:r>
          </w:p>
        </w:tc>
      </w:tr>
      <w:tr w:rsidR="00101540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101540" w:rsidRPr="00915E2A" w:rsidRDefault="0010154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2148.61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1540" w:rsidRDefault="00101540" w:rsidP="00101540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19.7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70A30" w:rsidRPr="00820A09" w:rsidRDefault="00820A09" w:rsidP="00820A09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美國上周初請失業金人數意外減少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1,000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人，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月初消費者信心從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月的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96.9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升至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98.0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月生產者物價小跌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0.1%</w:t>
      </w:r>
      <w:r>
        <w:rPr>
          <w:rFonts w:asciiTheme="minorHAnsi" w:eastAsia="標楷體" w:hAnsiTheme="minorHAnsi" w:hint="eastAsia"/>
          <w:noProof/>
          <w:sz w:val="16"/>
          <w:szCs w:val="16"/>
        </w:rPr>
        <w:t>，為七個月來首次下降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。報告直指經濟正穩步增長，可能促使美聯儲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(FED)6</w:t>
      </w:r>
      <w:r w:rsidRPr="00820A09">
        <w:rPr>
          <w:rFonts w:asciiTheme="minorHAnsi" w:eastAsia="標楷體" w:hAnsiTheme="minorHAnsi" w:hint="eastAsia"/>
          <w:noProof/>
          <w:sz w:val="16"/>
          <w:szCs w:val="16"/>
        </w:rPr>
        <w:t>月再次升息</w:t>
      </w:r>
    </w:p>
    <w:p w:rsidR="00880A7C" w:rsidRDefault="00880A7C" w:rsidP="00820A09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7B46664" wp14:editId="6EC8EECE">
                <wp:simplePos x="0" y="0"/>
                <wp:positionH relativeFrom="column">
                  <wp:posOffset>-84455</wp:posOffset>
                </wp:positionH>
                <wp:positionV relativeFrom="paragraph">
                  <wp:posOffset>551815</wp:posOffset>
                </wp:positionV>
                <wp:extent cx="3414395" cy="529590"/>
                <wp:effectExtent l="0" t="0" r="71755" b="8001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29590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43.45pt;width:268.85pt;height:41.7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A09" w:rsidRPr="00820A09">
        <w:rPr>
          <w:rFonts w:asciiTheme="minorHAnsi" w:eastAsia="標楷體" w:hAnsiTheme="minorHAnsi" w:hint="eastAsia"/>
          <w:noProof/>
          <w:sz w:val="16"/>
          <w:szCs w:val="16"/>
        </w:rPr>
        <w:t>中國央行副行長范一飛在</w:t>
      </w:r>
      <w:r w:rsidR="00820A09" w:rsidRPr="00820A09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="00820A09" w:rsidRPr="00820A09">
        <w:rPr>
          <w:rFonts w:asciiTheme="minorHAnsi" w:eastAsia="標楷體" w:hAnsiTheme="minorHAnsi" w:hint="eastAsia"/>
          <w:noProof/>
          <w:sz w:val="16"/>
          <w:szCs w:val="16"/>
        </w:rPr>
        <w:t>年金融穩定工作會議上稱，將重點防範跨行業、跨市場的交叉性金融風險，著力豐富和完善維護金融穩定的工具箱，強化央行的金融穩定職能。</w:t>
      </w:r>
    </w:p>
    <w:p w:rsidR="00880A7C" w:rsidRPr="00880A7C" w:rsidRDefault="00880A7C" w:rsidP="00880A7C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880A7C" w:rsidRPr="00880A7C" w:rsidRDefault="00880A7C" w:rsidP="00880A7C">
      <w:pPr>
        <w:spacing w:line="32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880A7C" w:rsidRPr="00880A7C" w:rsidRDefault="00880A7C" w:rsidP="00880A7C">
      <w:pPr>
        <w:spacing w:line="20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470A30" w:rsidRDefault="00BC0912" w:rsidP="00F067A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台幣兌美元週四大漲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2.31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角創近二周高位，已連續三日收升。美國總統川普一番話激勵亞幣走升，台幣勁揚，外商銀也大幅匯入。只不過午後進口商買盤現身，縮減台幣升幅。昨日盤初外商拋匯力道兇猛，台幣升勢很強，不過午後進口商有進場買匯，使得台幣的升幅稍有縮減。台幣兌美元今收在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30.325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，前高是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日的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30.315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。然受到昨日美國空襲阿富汗的重磅事件影響，市場避險情緒升溫，今日或有較多美元避險買盤支撐，預計今日成交區間在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30.400~30.550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A844E1">
      <w:pPr>
        <w:spacing w:line="32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F067A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臺灣銀行間短率週四貼在低檔。目前市場普遍多錢，且台幣強升提振外資匯入的預期將墊高銀行間資金水位，惟需求仍舊疲弱，銀行間為去化資金紛紛湧進短票市場，帶動短票利率持續探低，拆款利率區間高位也仍見鬆動跡象。人民幣市場部分，隔拆利率在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1.70%-2.30%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 xml:space="preserve"> 1,660 -1,740</w:t>
      </w:r>
      <w:r w:rsidR="00934A1D" w:rsidRPr="00934A1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A844E1">
      <w:pPr>
        <w:spacing w:line="32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週四美國公佈經濟數據好壞不一，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月生產者物價小幅弱於市場預期，但初請失業金與消費信心則表現穩健，昨日美債市場在多空因素干擾下，走勢偏震盪整理，</w:t>
      </w:r>
      <w:bookmarkStart w:id="0" w:name="_GoBack"/>
      <w:bookmarkEnd w:id="0"/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終場利率小幅下滑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0.2bps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2.237%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年券利率小幅彈升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0.6bps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2.892%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，今日美國關注重要消費與零售數據，短線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年券走勢偏多，下方價位不排除往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2.0%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測試，操作維持偏多操作。</w:t>
      </w:r>
    </w:p>
    <w:p w:rsidR="00FE4CDC" w:rsidRPr="00584250" w:rsidRDefault="00BC0912" w:rsidP="00A844E1">
      <w:pPr>
        <w:spacing w:line="320" w:lineRule="exact"/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BD0B67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人民幣兌美元即期週四先升後貶，早盤市場持續反應川普對於中國非匯率操縱國影響，利率最低升破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6.87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，下午盤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6.87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下方面臨強勁買盤，終場收於平盤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6.8850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附近。今日離岸人民幣匯率於市場消化該消息後趨於平靜，短線未突破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6.8700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前，走勢偏震盪整理。離岸人民幣換匯點，一個月降至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115(-5)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，一年期降至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1675(-135)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。人民幣匯率期貨市場週四成交量升至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671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0.235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3,055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1.153</w:t>
      </w:r>
      <w:r w:rsidR="00C575D7" w:rsidRPr="00C575D7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D78B2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財政預算月報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-$169.0b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-$176.2b</w:t>
            </w:r>
          </w:p>
        </w:tc>
        <w:tc>
          <w:tcPr>
            <w:tcW w:w="49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-$108.0b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進口(年比)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15.50%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20.30%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38.10%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出口(年比)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4.30%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16.40%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-1.30%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$12.50b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$23.93b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-$9.15b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進口(年比)人民幣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15.00%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26.30%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44.70%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出口(年比)人民幣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8.00%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22.30%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4.20%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貿易收支(人民幣)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75.80b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164.34b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-60.36b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外國直接投資(年比)人民幣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9.20%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PPI最終需求(年比)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2.20%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PPI(不含食品及能源)(年比)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8-Apr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245k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234k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234k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1-Apr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2024k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2028k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2028k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Apr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96.5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96.9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密西根大學5-10年通貨膨脹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Apr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2.40%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2.40%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CPI(月比)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CPI(不含食品及能源)(月比)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CPI(年比)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2.60%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2.70%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CPI(不含食品及能源)(年比)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2.20%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 xml:space="preserve">CPI 主要指數 </w:t>
            </w:r>
            <w:proofErr w:type="gramStart"/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經季調</w:t>
            </w:r>
            <w:proofErr w:type="gramEnd"/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251.651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251.299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CPI指數(未經季調)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244.237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243.603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實質平均週薪(年比)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-0.30%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實質平均時薪(年比)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先期零售銷售(月比)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-0.20%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零售銷售(不含汽車)(月比)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零售銷售(不含汽車及汽油)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零售銷售(控制組)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04/14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企業存貨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貨幣供給M2(年比)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貨幣供給M1年比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19.30%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21.40%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貨幣供給M0年比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1200.0b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1170.0b</w:t>
            </w:r>
          </w:p>
        </w:tc>
      </w:tr>
      <w:tr w:rsidR="00934A1D" w:rsidRPr="00934A1D" w:rsidTr="00934A1D">
        <w:trPr>
          <w:trHeight w:val="330"/>
        </w:trPr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04/13-04/15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934A1D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社會融資(人民幣)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1500.0b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A1D" w:rsidRPr="00934A1D" w:rsidRDefault="00934A1D" w:rsidP="00934A1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34A1D">
              <w:rPr>
                <w:rFonts w:ascii="Tahoma" w:hAnsi="Tahoma" w:cs="Tahoma" w:hint="eastAsia"/>
                <w:color w:val="000000"/>
                <w:sz w:val="20"/>
                <w:szCs w:val="20"/>
              </w:rPr>
              <w:t>1150.0b</w:t>
            </w:r>
          </w:p>
        </w:tc>
      </w:tr>
    </w:tbl>
    <w:p w:rsidR="00934A1D" w:rsidRPr="005E0A18" w:rsidRDefault="00934A1D" w:rsidP="00934A1D">
      <w:pPr>
        <w:framePr w:h="2331" w:hRule="exact" w:hSpace="180" w:wrap="around" w:vAnchor="text" w:hAnchor="page" w:x="885" w:y="33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934A1D" w:rsidRPr="005E0A18" w:rsidRDefault="00934A1D" w:rsidP="00934A1D">
      <w:pPr>
        <w:framePr w:h="2331" w:hRule="exact" w:hSpace="180" w:wrap="around" w:vAnchor="text" w:hAnchor="page" w:x="885" w:y="33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934A1D" w:rsidRPr="005E0A18" w:rsidRDefault="00934A1D" w:rsidP="00934A1D">
      <w:pPr>
        <w:framePr w:h="2331" w:hRule="exact" w:hSpace="180" w:wrap="around" w:vAnchor="text" w:hAnchor="page" w:x="885" w:y="33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934A1D" w:rsidRPr="00934A1D" w:rsidRDefault="00934A1D" w:rsidP="00934A1D">
      <w:pPr>
        <w:framePr w:h="2331" w:hRule="exact" w:hSpace="180" w:wrap="around" w:vAnchor="text" w:hAnchor="page" w:x="885" w:y="33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sectPr w:rsidR="00934A1D" w:rsidRPr="00934A1D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9A" w:rsidRDefault="00D6049A" w:rsidP="00AC6532">
      <w:r>
        <w:separator/>
      </w:r>
    </w:p>
  </w:endnote>
  <w:endnote w:type="continuationSeparator" w:id="0">
    <w:p w:rsidR="00D6049A" w:rsidRDefault="00D6049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9A" w:rsidRDefault="00D6049A" w:rsidP="00AC6532">
      <w:r>
        <w:separator/>
      </w:r>
    </w:p>
  </w:footnote>
  <w:footnote w:type="continuationSeparator" w:id="0">
    <w:p w:rsidR="00D6049A" w:rsidRDefault="00D6049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C45"/>
    <w:rsid w:val="00100DD5"/>
    <w:rsid w:val="00101130"/>
    <w:rsid w:val="0010154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BE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0E21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09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A1D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44E1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5D7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53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4420-7901-4066-806D-98C8C7EF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林紹寬</cp:lastModifiedBy>
  <cp:revision>3</cp:revision>
  <cp:lastPrinted>2015-08-07T06:27:00Z</cp:lastPrinted>
  <dcterms:created xsi:type="dcterms:W3CDTF">2017-04-14T01:37:00Z</dcterms:created>
  <dcterms:modified xsi:type="dcterms:W3CDTF">2017-04-14T03:00:00Z</dcterms:modified>
</cp:coreProperties>
</file>