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25E5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25E5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19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30.406</w:t>
            </w:r>
          </w:p>
        </w:tc>
        <w:tc>
          <w:tcPr>
            <w:tcW w:w="1006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30.429</w:t>
            </w:r>
          </w:p>
        </w:tc>
        <w:tc>
          <w:tcPr>
            <w:tcW w:w="1080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30.33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6.8803</w:t>
            </w:r>
          </w:p>
        </w:tc>
        <w:tc>
          <w:tcPr>
            <w:tcW w:w="1006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6.892</w:t>
            </w:r>
          </w:p>
        </w:tc>
        <w:tc>
          <w:tcPr>
            <w:tcW w:w="1080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6.8812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6.8758</w:t>
            </w:r>
          </w:p>
        </w:tc>
        <w:tc>
          <w:tcPr>
            <w:tcW w:w="1006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6.8878</w:t>
            </w:r>
          </w:p>
        </w:tc>
        <w:tc>
          <w:tcPr>
            <w:tcW w:w="1080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6.8738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108.43</w:t>
            </w:r>
          </w:p>
        </w:tc>
        <w:tc>
          <w:tcPr>
            <w:tcW w:w="1006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109.22</w:t>
            </w:r>
          </w:p>
        </w:tc>
        <w:tc>
          <w:tcPr>
            <w:tcW w:w="1080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108.32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1.073</w:t>
            </w:r>
          </w:p>
        </w:tc>
        <w:tc>
          <w:tcPr>
            <w:tcW w:w="1006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1.0736</w:t>
            </w:r>
          </w:p>
        </w:tc>
        <w:tc>
          <w:tcPr>
            <w:tcW w:w="1080" w:type="dxa"/>
            <w:shd w:val="clear" w:color="auto" w:fill="FFFFCC"/>
          </w:tcPr>
          <w:p w:rsidR="00D565C9" w:rsidRPr="00010731" w:rsidRDefault="00D565C9" w:rsidP="00D565C9">
            <w:pPr>
              <w:pStyle w:val="ad"/>
            </w:pPr>
            <w:r w:rsidRPr="00010731">
              <w:t>1.0637</w:t>
            </w:r>
          </w:p>
        </w:tc>
      </w:tr>
      <w:tr w:rsidR="00D565C9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0.756</w:t>
            </w:r>
          </w:p>
        </w:tc>
        <w:tc>
          <w:tcPr>
            <w:tcW w:w="1006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0.7596</w:t>
            </w:r>
          </w:p>
        </w:tc>
        <w:tc>
          <w:tcPr>
            <w:tcW w:w="1080" w:type="dxa"/>
            <w:shd w:val="clear" w:color="auto" w:fill="auto"/>
          </w:tcPr>
          <w:p w:rsidR="00D565C9" w:rsidRPr="00010731" w:rsidRDefault="00D565C9" w:rsidP="00D565C9">
            <w:pPr>
              <w:pStyle w:val="ad"/>
            </w:pPr>
            <w:r w:rsidRPr="00010731">
              <w:t>0.7534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3.8021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-0.0326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4.3714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-0.0253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0.7739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-0.0079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-0.0149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-0.0171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0.042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3.9978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0.0006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4.2621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0.0012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0.92611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-0.00167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1.15844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2.1682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-0.0692</w:t>
            </w:r>
          </w:p>
        </w:tc>
      </w:tr>
      <w:tr w:rsidR="00D565C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2.8354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-0.0626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565C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54.89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-0.07</w:t>
            </w:r>
          </w:p>
        </w:tc>
      </w:tr>
      <w:tr w:rsidR="00D565C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-0.07</w:t>
            </w:r>
          </w:p>
        </w:tc>
      </w:tr>
      <w:tr w:rsidR="00D565C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1289.76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-2.01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565C9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20523.28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-113.64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5849.471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-7.317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2342.19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-6.82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12000.44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-108.56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3374.245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9746.56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30.16</w:t>
            </w:r>
          </w:p>
        </w:tc>
      </w:tr>
      <w:tr w:rsidR="00D565C9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18418.59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63.33</w:t>
            </w:r>
          </w:p>
        </w:tc>
      </w:tr>
      <w:tr w:rsidR="00D565C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565C9" w:rsidRPr="00915E2A" w:rsidRDefault="00D565C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2148.46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565C9" w:rsidRDefault="00D565C9" w:rsidP="00D565C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2.7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B4AC5" w:rsidRDefault="006B4AC5" w:rsidP="006B4AC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高盛來自交易的季度總營收下降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2.4%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33.6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億美元，為五個季度以來最低。季報公布後其股價大跌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4.7%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215.59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美元，創下去年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Pr="006B4AC5">
        <w:rPr>
          <w:rFonts w:asciiTheme="minorHAnsi" w:eastAsia="標楷體" w:hAnsiTheme="minorHAnsi" w:hint="eastAsia"/>
          <w:noProof/>
          <w:sz w:val="16"/>
          <w:szCs w:val="16"/>
        </w:rPr>
        <w:t>月英國退歐公投後最大單日百分比跌幅，拖累美股收低。</w:t>
      </w:r>
    </w:p>
    <w:p w:rsidR="001A3CD6" w:rsidRPr="002A2224" w:rsidRDefault="002A2224" w:rsidP="00880A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609EF96" wp14:editId="563935DE">
                <wp:simplePos x="0" y="0"/>
                <wp:positionH relativeFrom="column">
                  <wp:posOffset>-84455</wp:posOffset>
                </wp:positionH>
                <wp:positionV relativeFrom="paragraph">
                  <wp:posOffset>563880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4.4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83+iRuAAAAAKAQAADwAAAGRycy9kb3ducmV2LnhtbEyPQUvDQBCF&#10;74L/YRnBW7tJ00iI2ZRS1FMRbAXxts1Ok9DsbMhuk/TfO570OMzHe98rNrPtxIiDbx0piJcRCKTK&#10;mZZqBZ/H10UGwgdNRneOUMENPWzK+7tC58ZN9IHjIdSCQ8jnWkETQp9L6asGrfZL1yPx7+wGqwOf&#10;Qy3NoCcOt51cRdGTtLolbmh0j7sGq8vhahW8TXraJvHLuL+cd7fvY/r+tY9RqceHefsMIuAc/mD4&#10;1Wd1KNnp5K5kvOgULOIkYVRBlvEEBtLVeg3ixGQWpSDLQv6fUP4AAAD//wMAUEsBAi0AFAAGAAgA&#10;AAAhALaDOJL+AAAA4QEAABMAAAAAAAAAAAAAAAAAAAAAAFtDb250ZW50X1R5cGVzXS54bWxQSwEC&#10;LQAUAAYACAAAACEAOP0h/9YAAACUAQAACwAAAAAAAAAAAAAAAAAvAQAAX3JlbHMvLnJlbHNQSwEC&#10;LQAUAAYACAAAACEAvpKxr5IGAACFEwAADgAAAAAAAAAAAAAAAAAuAgAAZHJzL2Uyb0RvYy54bWxQ&#10;SwECLQAUAAYACAAAACEA83+iRuAAAAAKAQAADwAAAAAAAAAAAAAAAADsCAAAZHJzL2Rvd25yZXYu&#10;eG1sUEsFBgAAAAAEAAQA8wAAAPkJAAAAAA=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4AC5" w:rsidRPr="002A2224">
        <w:rPr>
          <w:rFonts w:asciiTheme="minorHAnsi" w:eastAsia="標楷體" w:hAnsiTheme="minorHAnsi" w:hint="eastAsia"/>
          <w:noProof/>
          <w:sz w:val="16"/>
          <w:szCs w:val="16"/>
        </w:rPr>
        <w:t>英國首相特雷莎梅要求於</w:t>
      </w:r>
      <w:r w:rsidR="006B4AC5" w:rsidRPr="002A2224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6B4AC5" w:rsidRPr="002A2224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6B4AC5" w:rsidRPr="002A2224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="006B4AC5" w:rsidRPr="002A2224">
        <w:rPr>
          <w:rFonts w:asciiTheme="minorHAnsi" w:eastAsia="標楷體" w:hAnsiTheme="minorHAnsi" w:hint="eastAsia"/>
          <w:noProof/>
          <w:sz w:val="16"/>
          <w:szCs w:val="16"/>
        </w:rPr>
        <w:t>日提前舉行大選，稱她需要通過加強國內對其脫歐計劃的支持。英鎊受此消息影響，兌美元升至逾六個月高位，歐洲股市在震盪中收低，英國公債收益率下滑。</w:t>
      </w:r>
    </w:p>
    <w:p w:rsidR="00880A7C" w:rsidRPr="00880A7C" w:rsidRDefault="00880A7C" w:rsidP="00880A7C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880A7C" w:rsidRDefault="00880A7C" w:rsidP="00880A7C">
      <w:pPr>
        <w:spacing w:line="20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2A2224" w:rsidRPr="00880A7C" w:rsidRDefault="002A2224" w:rsidP="00880A7C">
      <w:pPr>
        <w:spacing w:line="20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台幣兌美元週二收貶。受外資匯出影響，台幣午後貶幅略為擴大，帶動早盤偏升的韓元跟進走低；短線在東北亞地緣政治及法國將選舉等不確定因素干擾之下，台幣料易貶難升。昨天外資在台股小幅買超，但淨匯出數千萬美元，惟因市場午後交投偏冷、成交量不大，以至於外資盤中只要小量匯出台幣貶幅即隨之擴增，但匯價觸及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即遭遇出口商拋匯，縮窄貶幅。昨晚英國首相梅宣佈國會大選提前到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日，造成歐系貨幣強力反彈，帶動美元指數走弱跌破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大關，後市將繼續觀察市場資金的流動，預計今日交易區間在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30.300~30.450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臺灣銀行間短率週二持穩低位。市場缺乏緊縮因數，銀行間普遍多錢，再加上央行並未積極沖銷，使得市場資金相當寬裕，短率陸續靠向區間低位。人民幣市場部分，隔夜價格在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1.70%-2.00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 xml:space="preserve"> 1,680 -1,720</w:t>
      </w:r>
      <w:r w:rsidR="00E25E5A" w:rsidRPr="00E25E5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週一美國公佈經濟數據好壞不一，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月營建許可增加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3.6%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；開工下滑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6.8%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；而工業生產如預期成長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0.5%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，但美債市場因稅制改革預期下滑與地緣政治因素，利率持續走跌，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8.1bps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7.4bps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，今日美國關注明日凌晨褐皮書報告，短線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年券反彈幅度未如預期，利率持續走跌，下方預估往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2.10%</w:t>
      </w:r>
      <w:r w:rsidR="001A3CD6" w:rsidRPr="001A3CD6">
        <w:rPr>
          <w:rFonts w:asciiTheme="minorHAnsi" w:eastAsia="標楷體" w:hAnsiTheme="minorHAnsi" w:hint="eastAsia"/>
          <w:noProof/>
          <w:sz w:val="16"/>
          <w:szCs w:val="16"/>
        </w:rPr>
        <w:t>測試。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人民幣兌美元即期週二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(4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18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先抑後揚，尾盤小幅收升。市場預期本周會有大量油盤購匯，上午多家自營紛紛囤貨，匯價一度穩定在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6.89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附近；但油盤並未出現，致匯價轉為收升。近期地緣局勢緊張依舊，但對人民幣的直接影響不大。另外缺乏波動也降低了對風險的對沖必要性，境內各個期限的美元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人民幣平價期權隱含波動率持續下降。換匯點一個月小升至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136(+16)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，一年期亦小幅上漲至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1715(+5)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。人民幣匯率期貨市場成交量持續縮小至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64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0.0316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億美元，留倉口數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3,058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1.1508</w:t>
      </w:r>
      <w:r w:rsidR="00E87A46" w:rsidRPr="00E87A4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gramStart"/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 xml:space="preserve"> TIC 流量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$19.3b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$110.4b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淨長期 TIC 流量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$53.4b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$6.3b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1250k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1215k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1288k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新屋開工(月比)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-3.00%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-6.80%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1250k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1260k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1213k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建築許可 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3.60%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-6.20%</w:t>
            </w:r>
          </w:p>
        </w:tc>
      </w:tr>
      <w:tr w:rsidR="006B4AC5" w:rsidRPr="006B4AC5" w:rsidTr="006B4AC5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04/19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6B4AC5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MBA 貸款申請指數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14-Apr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5" w:rsidRPr="006B4AC5" w:rsidRDefault="006B4AC5" w:rsidP="006B4AC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AC5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FC3C-3000-4E2C-A0E0-0603373C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3</cp:revision>
  <cp:lastPrinted>2015-08-07T06:27:00Z</cp:lastPrinted>
  <dcterms:created xsi:type="dcterms:W3CDTF">2017-04-19T01:18:00Z</dcterms:created>
  <dcterms:modified xsi:type="dcterms:W3CDTF">2017-04-19T02:15:00Z</dcterms:modified>
</cp:coreProperties>
</file>